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0C804" w14:textId="3225A9C8" w:rsidR="00EF6413" w:rsidRDefault="00856D80">
      <w:r>
        <w:t xml:space="preserve">2019 </w:t>
      </w:r>
      <w:r w:rsidRPr="00856D80">
        <w:t>FINANCIAL LITERACY MONTH, A PERFECT TIME TO PLAN FOR YOUR FUTURE</w:t>
      </w:r>
    </w:p>
    <w:p w14:paraId="66C03E03" w14:textId="77777777" w:rsidR="00856D80" w:rsidRDefault="00856D80" w:rsidP="00856D80">
      <w:pPr>
        <w:pStyle w:val="NormalWeb"/>
      </w:pPr>
      <w:r>
        <w:rPr>
          <w:noProof/>
        </w:rPr>
        <w:drawing>
          <wp:inline distT="0" distB="0" distL="0" distR="0" wp14:anchorId="65894959" wp14:editId="5ECFD6D1">
            <wp:extent cx="3552825" cy="2362200"/>
            <wp:effectExtent l="0" t="0" r="9525" b="0"/>
            <wp:docPr id="1" name="Picture 1" descr="financial 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cial literac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52825" cy="2362200"/>
                    </a:xfrm>
                    <a:prstGeom prst="rect">
                      <a:avLst/>
                    </a:prstGeom>
                    <a:noFill/>
                    <a:ln>
                      <a:noFill/>
                    </a:ln>
                  </pic:spPr>
                </pic:pic>
              </a:graphicData>
            </a:graphic>
          </wp:inline>
        </w:drawing>
      </w:r>
    </w:p>
    <w:p w14:paraId="7817F4B8" w14:textId="77777777" w:rsidR="00856D80" w:rsidRDefault="00856D80" w:rsidP="00856D80">
      <w:pPr>
        <w:pStyle w:val="NormalWeb"/>
      </w:pPr>
      <w:r>
        <w:rPr>
          <w:rFonts w:ascii="Times New Roman" w:hAnsi="Times New Roman" w:cs="Times New Roman"/>
          <w:sz w:val="20"/>
          <w:szCs w:val="20"/>
        </w:rPr>
        <w:t>April is Financial Literacy Month and there’s no better time than right now to begin to save for your future. The earlier you start saving, the more you can accrue in a 401k individual retirement account and other types of IRAs. Social Security helps secure your future, but Social Security is only one part of a more complete retirement plan.</w:t>
      </w:r>
    </w:p>
    <w:p w14:paraId="4A142BCE" w14:textId="77777777" w:rsidR="00856D80" w:rsidRDefault="00856D80" w:rsidP="00856D80">
      <w:pPr>
        <w:pStyle w:val="NormalWeb"/>
      </w:pPr>
      <w:r>
        <w:rPr>
          <w:rFonts w:ascii="Times New Roman" w:hAnsi="Times New Roman" w:cs="Times New Roman"/>
          <w:sz w:val="20"/>
          <w:szCs w:val="20"/>
        </w:rPr>
        <w:t xml:space="preserve">Financial literacy includes having access to not just the correct general information, but also to your personal financial information. You can open your own personal </w:t>
      </w:r>
      <w:r>
        <w:rPr>
          <w:rStyle w:val="Emphasis"/>
          <w:rFonts w:ascii="Times New Roman" w:hAnsi="Times New Roman" w:cs="Times New Roman"/>
          <w:sz w:val="20"/>
          <w:szCs w:val="20"/>
        </w:rPr>
        <w:t xml:space="preserve">my Social Security </w:t>
      </w:r>
      <w:r>
        <w:rPr>
          <w:rFonts w:ascii="Times New Roman" w:hAnsi="Times New Roman" w:cs="Times New Roman"/>
          <w:sz w:val="20"/>
          <w:szCs w:val="20"/>
        </w:rPr>
        <w:t xml:space="preserve">account at </w:t>
      </w:r>
      <w:hyperlink r:id="rId5" w:history="1">
        <w:r>
          <w:rPr>
            <w:rStyle w:val="Hyperlink"/>
            <w:rFonts w:ascii="Times New Roman" w:hAnsi="Times New Roman" w:cs="Times New Roman"/>
            <w:sz w:val="20"/>
            <w:szCs w:val="20"/>
          </w:rPr>
          <w:t>www.socialsecurity.gov/myaccount/</w:t>
        </w:r>
      </w:hyperlink>
      <w:r>
        <w:rPr>
          <w:rFonts w:ascii="Times New Roman" w:hAnsi="Times New Roman" w:cs="Times New Roman"/>
          <w:sz w:val="20"/>
          <w:szCs w:val="20"/>
        </w:rPr>
        <w:t xml:space="preserve"> and quickly have access to your information from anywhere. There, you can do many things, but the most important thing is to view your </w:t>
      </w:r>
      <w:r>
        <w:rPr>
          <w:rStyle w:val="Emphasis"/>
          <w:rFonts w:ascii="Times New Roman" w:hAnsi="Times New Roman" w:cs="Times New Roman"/>
          <w:sz w:val="20"/>
          <w:szCs w:val="20"/>
        </w:rPr>
        <w:t>Social Security Statement.</w:t>
      </w:r>
    </w:p>
    <w:p w14:paraId="02E16C82" w14:textId="77777777" w:rsidR="00856D80" w:rsidRDefault="00856D80" w:rsidP="00856D80">
      <w:pPr>
        <w:pStyle w:val="NormalWeb"/>
      </w:pPr>
      <w:r>
        <w:rPr>
          <w:rFonts w:ascii="Times New Roman" w:hAnsi="Times New Roman" w:cs="Times New Roman"/>
          <w:sz w:val="20"/>
          <w:szCs w:val="20"/>
        </w:rPr>
        <w:t xml:space="preserve">Your </w:t>
      </w:r>
      <w:r>
        <w:rPr>
          <w:rStyle w:val="Emphasis"/>
          <w:rFonts w:ascii="Times New Roman" w:hAnsi="Times New Roman" w:cs="Times New Roman"/>
          <w:sz w:val="20"/>
          <w:szCs w:val="20"/>
        </w:rPr>
        <w:t xml:space="preserve">Social Security Statement </w:t>
      </w:r>
      <w:r>
        <w:rPr>
          <w:rFonts w:ascii="Times New Roman" w:hAnsi="Times New Roman" w:cs="Times New Roman"/>
          <w:sz w:val="20"/>
          <w:szCs w:val="20"/>
        </w:rPr>
        <w:t xml:space="preserve">is an easy-to-read personal record of the earnings on which you have paid Social Security taxes and a summary of the estimated benefits you and your family could receive, including potential retirement, disability, and </w:t>
      </w:r>
      <w:proofErr w:type="gramStart"/>
      <w:r>
        <w:rPr>
          <w:rFonts w:ascii="Times New Roman" w:hAnsi="Times New Roman" w:cs="Times New Roman"/>
          <w:sz w:val="20"/>
          <w:szCs w:val="20"/>
        </w:rPr>
        <w:t>survivors</w:t>
      </w:r>
      <w:proofErr w:type="gramEnd"/>
      <w:r>
        <w:rPr>
          <w:rFonts w:ascii="Times New Roman" w:hAnsi="Times New Roman" w:cs="Times New Roman"/>
          <w:sz w:val="20"/>
          <w:szCs w:val="20"/>
        </w:rPr>
        <w:t xml:space="preserve"> benefits. Once you have an account, you can view your </w:t>
      </w:r>
      <w:r>
        <w:rPr>
          <w:rStyle w:val="Emphasis"/>
          <w:rFonts w:ascii="Times New Roman" w:hAnsi="Times New Roman" w:cs="Times New Roman"/>
          <w:sz w:val="20"/>
          <w:szCs w:val="20"/>
        </w:rPr>
        <w:t>Statement</w:t>
      </w:r>
      <w:r>
        <w:rPr>
          <w:rFonts w:ascii="Times New Roman" w:hAnsi="Times New Roman" w:cs="Times New Roman"/>
          <w:sz w:val="20"/>
          <w:szCs w:val="20"/>
        </w:rPr>
        <w:t xml:space="preserve"> at any time. You’ll want to verify that your recorded earnings are correct, because your future benefits are based on your recorded earnings. </w:t>
      </w:r>
    </w:p>
    <w:p w14:paraId="1D0C7592" w14:textId="77777777" w:rsidR="00856D80" w:rsidRDefault="00856D80" w:rsidP="00856D80">
      <w:pPr>
        <w:pStyle w:val="NormalWeb"/>
      </w:pPr>
      <w:r>
        <w:rPr>
          <w:rFonts w:ascii="Times New Roman" w:hAnsi="Times New Roman" w:cs="Times New Roman"/>
          <w:sz w:val="20"/>
          <w:szCs w:val="20"/>
        </w:rPr>
        <w:t xml:space="preserve">We also offer the online </w:t>
      </w:r>
      <w:r>
        <w:rPr>
          <w:rStyle w:val="Emphasis"/>
          <w:rFonts w:ascii="Times New Roman" w:hAnsi="Times New Roman" w:cs="Times New Roman"/>
          <w:sz w:val="20"/>
          <w:szCs w:val="20"/>
        </w:rPr>
        <w:t>Retirement Estimator</w:t>
      </w:r>
      <w:r>
        <w:rPr>
          <w:rFonts w:ascii="Times New Roman" w:hAnsi="Times New Roman" w:cs="Times New Roman"/>
          <w:sz w:val="20"/>
          <w:szCs w:val="20"/>
        </w:rPr>
        <w:t xml:space="preserve"> at </w:t>
      </w:r>
      <w:hyperlink r:id="rId6" w:history="1">
        <w:r>
          <w:rPr>
            <w:rStyle w:val="Hyperlink"/>
            <w:rFonts w:ascii="Times New Roman" w:hAnsi="Times New Roman" w:cs="Times New Roman"/>
            <w:sz w:val="20"/>
            <w:szCs w:val="20"/>
          </w:rPr>
          <w:t>www.socialsecurity.gov/benefits/retirement/estimator.html</w:t>
        </w:r>
      </w:hyperlink>
      <w:r>
        <w:rPr>
          <w:rFonts w:ascii="Times New Roman" w:hAnsi="Times New Roman" w:cs="Times New Roman"/>
          <w:sz w:val="20"/>
          <w:szCs w:val="20"/>
        </w:rPr>
        <w:t xml:space="preserve"> that provides immediate and personalized benefit estimates based on your earnings record. And, best of all, the </w:t>
      </w:r>
      <w:r>
        <w:rPr>
          <w:rStyle w:val="Emphasis"/>
          <w:rFonts w:ascii="Times New Roman" w:hAnsi="Times New Roman" w:cs="Times New Roman"/>
          <w:sz w:val="20"/>
          <w:szCs w:val="20"/>
        </w:rPr>
        <w:t>Retirement Estimator</w:t>
      </w:r>
      <w:r>
        <w:rPr>
          <w:rFonts w:ascii="Times New Roman" w:hAnsi="Times New Roman" w:cs="Times New Roman"/>
          <w:sz w:val="20"/>
          <w:szCs w:val="20"/>
        </w:rPr>
        <w:t xml:space="preserve"> is an interactive tool that allows you to compare different retirement scenarios like future earnings and different retirement ages. </w:t>
      </w:r>
    </w:p>
    <w:p w14:paraId="69EF1E04" w14:textId="147179A1" w:rsidR="00856D80" w:rsidRDefault="00856D80" w:rsidP="00856D80">
      <w:pPr>
        <w:rPr>
          <w:rFonts w:ascii="Times New Roman" w:hAnsi="Times New Roman" w:cs="Times New Roman"/>
          <w:sz w:val="20"/>
          <w:szCs w:val="20"/>
        </w:rPr>
      </w:pPr>
      <w:r>
        <w:rPr>
          <w:rFonts w:ascii="Times New Roman" w:hAnsi="Times New Roman" w:cs="Times New Roman"/>
          <w:sz w:val="20"/>
          <w:szCs w:val="20"/>
        </w:rPr>
        <w:t>One sure way to stay on top of your financial future is to join the more than 38 million people who have opened their own</w:t>
      </w:r>
      <w:hyperlink r:id="rId7" w:history="1">
        <w:r>
          <w:rPr>
            <w:rStyle w:val="Hyperlink"/>
            <w:rFonts w:ascii="Times New Roman" w:hAnsi="Times New Roman" w:cs="Times New Roman"/>
            <w:sz w:val="20"/>
            <w:szCs w:val="20"/>
          </w:rPr>
          <w:t xml:space="preserve"> </w:t>
        </w:r>
        <w:r>
          <w:rPr>
            <w:rStyle w:val="Emphasis"/>
            <w:rFonts w:ascii="Times New Roman" w:hAnsi="Times New Roman" w:cs="Times New Roman"/>
            <w:sz w:val="20"/>
            <w:szCs w:val="20"/>
          </w:rPr>
          <w:t>my Social Security</w:t>
        </w:r>
        <w:r>
          <w:rPr>
            <w:rStyle w:val="Hyperlink"/>
            <w:rFonts w:ascii="Times New Roman" w:hAnsi="Times New Roman" w:cs="Times New Roman"/>
            <w:sz w:val="20"/>
            <w:szCs w:val="20"/>
          </w:rPr>
          <w:t xml:space="preserve"> </w:t>
        </w:r>
      </w:hyperlink>
      <w:r>
        <w:rPr>
          <w:rFonts w:ascii="Times New Roman" w:hAnsi="Times New Roman" w:cs="Times New Roman"/>
          <w:sz w:val="20"/>
          <w:szCs w:val="20"/>
        </w:rPr>
        <w:t xml:space="preserve">account at </w:t>
      </w:r>
      <w:hyperlink r:id="rId8" w:history="1">
        <w:r>
          <w:rPr>
            <w:rStyle w:val="Hyperlink"/>
            <w:rFonts w:ascii="Times New Roman" w:hAnsi="Times New Roman" w:cs="Times New Roman"/>
            <w:sz w:val="20"/>
            <w:szCs w:val="20"/>
          </w:rPr>
          <w:t>www.socialsecurity.gov/myaccount/</w:t>
        </w:r>
      </w:hyperlink>
      <w:r>
        <w:rPr>
          <w:rFonts w:ascii="Times New Roman" w:hAnsi="Times New Roman" w:cs="Times New Roman"/>
          <w:sz w:val="20"/>
          <w:szCs w:val="20"/>
        </w:rPr>
        <w:t>. The sooner you start planning for retirement the better off you will be.</w:t>
      </w:r>
    </w:p>
    <w:tbl>
      <w:tblPr>
        <w:tblW w:w="12000" w:type="dxa"/>
        <w:tblCellSpacing w:w="7" w:type="dxa"/>
        <w:tblLook w:val="04A0" w:firstRow="1" w:lastRow="0" w:firstColumn="1" w:lastColumn="0" w:noHBand="0" w:noVBand="1"/>
      </w:tblPr>
      <w:tblGrid>
        <w:gridCol w:w="12000"/>
      </w:tblGrid>
      <w:tr w:rsidR="00856D80" w14:paraId="4ACE9292" w14:textId="77777777" w:rsidTr="00856D80">
        <w:trPr>
          <w:tblCellSpacing w:w="7" w:type="dxa"/>
        </w:trPr>
        <w:tc>
          <w:tcPr>
            <w:tcW w:w="0" w:type="auto"/>
            <w:tcMar>
              <w:top w:w="15" w:type="dxa"/>
              <w:left w:w="15" w:type="dxa"/>
              <w:bottom w:w="15" w:type="dxa"/>
              <w:right w:w="15" w:type="dxa"/>
            </w:tcMar>
            <w:vAlign w:val="center"/>
            <w:hideMark/>
          </w:tcPr>
          <w:p w14:paraId="70C18314" w14:textId="77777777" w:rsidR="00856D80" w:rsidRDefault="00856D80">
            <w:r>
              <w:rPr>
                <w:rFonts w:ascii="Times New Roman" w:hAnsi="Times New Roman" w:cs="Times New Roman"/>
              </w:rPr>
              <w:t>Sincerely,</w:t>
            </w:r>
          </w:p>
        </w:tc>
      </w:tr>
      <w:tr w:rsidR="00856D80" w14:paraId="4C5CA6A6" w14:textId="77777777" w:rsidTr="00856D80">
        <w:trPr>
          <w:tblCellSpacing w:w="7" w:type="dxa"/>
        </w:trPr>
        <w:tc>
          <w:tcPr>
            <w:tcW w:w="0" w:type="auto"/>
            <w:tcMar>
              <w:top w:w="15" w:type="dxa"/>
              <w:left w:w="15" w:type="dxa"/>
              <w:bottom w:w="15" w:type="dxa"/>
              <w:right w:w="15" w:type="dxa"/>
            </w:tcMar>
            <w:vAlign w:val="center"/>
            <w:hideMark/>
          </w:tcPr>
          <w:p w14:paraId="71D9D210" w14:textId="77777777" w:rsidR="00856D80" w:rsidRDefault="00856D80">
            <w:r>
              <w:t xml:space="preserve">  </w:t>
            </w:r>
          </w:p>
        </w:tc>
      </w:tr>
      <w:tr w:rsidR="00856D80" w14:paraId="472DBF6C" w14:textId="77777777" w:rsidTr="00856D80">
        <w:trPr>
          <w:tblCellSpacing w:w="7" w:type="dxa"/>
        </w:trPr>
        <w:tc>
          <w:tcPr>
            <w:tcW w:w="0" w:type="auto"/>
            <w:tcMar>
              <w:top w:w="15" w:type="dxa"/>
              <w:left w:w="15" w:type="dxa"/>
              <w:bottom w:w="15" w:type="dxa"/>
              <w:right w:w="15" w:type="dxa"/>
            </w:tcMar>
            <w:vAlign w:val="center"/>
            <w:hideMark/>
          </w:tcPr>
          <w:p w14:paraId="19720B71" w14:textId="77777777" w:rsidR="00856D80" w:rsidRDefault="00856D80">
            <w:r>
              <w:rPr>
                <w:rFonts w:ascii="Times New Roman" w:hAnsi="Times New Roman" w:cs="Times New Roman"/>
              </w:rPr>
              <w:t xml:space="preserve">Regional Public Affairs Office </w:t>
            </w:r>
          </w:p>
        </w:tc>
      </w:tr>
      <w:tr w:rsidR="00856D80" w14:paraId="6F61153E" w14:textId="77777777" w:rsidTr="00856D80">
        <w:trPr>
          <w:tblCellSpacing w:w="7" w:type="dxa"/>
        </w:trPr>
        <w:tc>
          <w:tcPr>
            <w:tcW w:w="0" w:type="auto"/>
            <w:tcMar>
              <w:top w:w="15" w:type="dxa"/>
              <w:left w:w="15" w:type="dxa"/>
              <w:bottom w:w="15" w:type="dxa"/>
              <w:right w:w="15" w:type="dxa"/>
            </w:tcMar>
            <w:vAlign w:val="center"/>
            <w:hideMark/>
          </w:tcPr>
          <w:p w14:paraId="4115761D" w14:textId="77777777" w:rsidR="00856D80" w:rsidRDefault="00856D80">
            <w:r>
              <w:rPr>
                <w:rFonts w:ascii="Times New Roman" w:hAnsi="Times New Roman" w:cs="Times New Roman"/>
              </w:rPr>
              <w:t xml:space="preserve">Community Outreach </w:t>
            </w:r>
          </w:p>
        </w:tc>
      </w:tr>
      <w:tr w:rsidR="00856D80" w14:paraId="09A22B38" w14:textId="77777777" w:rsidTr="00856D80">
        <w:trPr>
          <w:tblCellSpacing w:w="7" w:type="dxa"/>
        </w:trPr>
        <w:tc>
          <w:tcPr>
            <w:tcW w:w="0" w:type="auto"/>
            <w:tcMar>
              <w:top w:w="15" w:type="dxa"/>
              <w:left w:w="15" w:type="dxa"/>
              <w:bottom w:w="15" w:type="dxa"/>
              <w:right w:w="15" w:type="dxa"/>
            </w:tcMar>
            <w:vAlign w:val="center"/>
            <w:hideMark/>
          </w:tcPr>
          <w:p w14:paraId="7A78DC23" w14:textId="77777777" w:rsidR="00856D80" w:rsidRDefault="00856D80">
            <w:r>
              <w:rPr>
                <w:rFonts w:ascii="Times New Roman" w:hAnsi="Times New Roman" w:cs="Times New Roman"/>
              </w:rPr>
              <w:t>Social Security Administration</w:t>
            </w:r>
          </w:p>
        </w:tc>
      </w:tr>
      <w:tr w:rsidR="00856D80" w14:paraId="754945D1" w14:textId="77777777" w:rsidTr="00856D80">
        <w:trPr>
          <w:tblCellSpacing w:w="7" w:type="dxa"/>
        </w:trPr>
        <w:tc>
          <w:tcPr>
            <w:tcW w:w="0" w:type="auto"/>
            <w:tcMar>
              <w:top w:w="15" w:type="dxa"/>
              <w:left w:w="15" w:type="dxa"/>
              <w:bottom w:w="15" w:type="dxa"/>
              <w:right w:w="15" w:type="dxa"/>
            </w:tcMar>
            <w:vAlign w:val="center"/>
            <w:hideMark/>
          </w:tcPr>
          <w:p w14:paraId="2D60CA9A" w14:textId="77777777" w:rsidR="00856D80" w:rsidRDefault="00856D80">
            <w:hyperlink r:id="rId9" w:history="1">
              <w:r>
                <w:rPr>
                  <w:rStyle w:val="Hyperlink"/>
                  <w:rFonts w:ascii="Times New Roman" w:hAnsi="Times New Roman" w:cs="Times New Roman"/>
                </w:rPr>
                <w:t>SEA.ORC.RPA@ssa.gov</w:t>
              </w:r>
            </w:hyperlink>
          </w:p>
        </w:tc>
      </w:tr>
      <w:tr w:rsidR="00856D80" w14:paraId="35AD934F" w14:textId="77777777" w:rsidTr="00856D80">
        <w:trPr>
          <w:tblCellSpacing w:w="7" w:type="dxa"/>
        </w:trPr>
        <w:tc>
          <w:tcPr>
            <w:tcW w:w="0" w:type="auto"/>
            <w:tcMar>
              <w:top w:w="15" w:type="dxa"/>
              <w:left w:w="15" w:type="dxa"/>
              <w:bottom w:w="15" w:type="dxa"/>
              <w:right w:w="15" w:type="dxa"/>
            </w:tcMar>
            <w:vAlign w:val="center"/>
            <w:hideMark/>
          </w:tcPr>
          <w:p w14:paraId="170854E5" w14:textId="77542C1A" w:rsidR="00856D80" w:rsidRDefault="00856D80">
            <w:r>
              <w:rPr>
                <w:noProof/>
              </w:rPr>
              <w:drawing>
                <wp:inline distT="0" distB="0" distL="0" distR="0" wp14:anchorId="29D5238C" wp14:editId="651525B3">
                  <wp:extent cx="2143125" cy="857250"/>
                  <wp:effectExtent l="0" t="0" r="0" b="0"/>
                  <wp:docPr id="2" name="Picture 2" descr="Securing Today and Tomo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uring Today and Tomorr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857250"/>
                          </a:xfrm>
                          <a:prstGeom prst="rect">
                            <a:avLst/>
                          </a:prstGeom>
                          <a:noFill/>
                          <a:ln>
                            <a:noFill/>
                          </a:ln>
                        </pic:spPr>
                      </pic:pic>
                    </a:graphicData>
                  </a:graphic>
                </wp:inline>
              </w:drawing>
            </w:r>
          </w:p>
        </w:tc>
      </w:tr>
    </w:tbl>
    <w:p w14:paraId="6053CCEF" w14:textId="77777777" w:rsidR="00856D80" w:rsidRDefault="00856D80" w:rsidP="00856D80">
      <w:bookmarkStart w:id="0" w:name="_GoBack"/>
      <w:bookmarkEnd w:id="0"/>
    </w:p>
    <w:sectPr w:rsidR="00856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80"/>
    <w:rsid w:val="00856D80"/>
    <w:rsid w:val="00EF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13B8"/>
  <w15:chartTrackingRefBased/>
  <w15:docId w15:val="{34118F6F-91AF-4A06-BD0A-9412E81D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6D80"/>
    <w:rPr>
      <w:color w:val="0000FF"/>
      <w:u w:val="single"/>
    </w:rPr>
  </w:style>
  <w:style w:type="paragraph" w:styleId="NormalWeb">
    <w:name w:val="Normal (Web)"/>
    <w:basedOn w:val="Normal"/>
    <w:uiPriority w:val="99"/>
    <w:semiHidden/>
    <w:unhideWhenUsed/>
    <w:rsid w:val="00856D80"/>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856D80"/>
    <w:rPr>
      <w:i/>
      <w:iCs/>
    </w:rPr>
  </w:style>
  <w:style w:type="paragraph" w:styleId="BalloonText">
    <w:name w:val="Balloon Text"/>
    <w:basedOn w:val="Normal"/>
    <w:link w:val="BalloonTextChar"/>
    <w:uiPriority w:val="99"/>
    <w:semiHidden/>
    <w:unhideWhenUsed/>
    <w:rsid w:val="00856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462316">
      <w:bodyDiv w:val="1"/>
      <w:marLeft w:val="0"/>
      <w:marRight w:val="0"/>
      <w:marTop w:val="0"/>
      <w:marBottom w:val="0"/>
      <w:divBdr>
        <w:top w:val="none" w:sz="0" w:space="0" w:color="auto"/>
        <w:left w:val="none" w:sz="0" w:space="0" w:color="auto"/>
        <w:bottom w:val="none" w:sz="0" w:space="0" w:color="auto"/>
        <w:right w:val="none" w:sz="0" w:space="0" w:color="auto"/>
      </w:divBdr>
    </w:div>
    <w:div w:id="16630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gov/myaccount/?utm_source=mip0419&amp;utm_medium=online-media&amp;utm_content=Financial-Literacy-Month-A-Perfect-Time-To-Plan-For-Your-Future-003&amp;utm_campaign=ocomm-mip-fy19" TargetMode="External"/><Relationship Id="rId3" Type="http://schemas.openxmlformats.org/officeDocument/2006/relationships/webSettings" Target="webSettings.xml"/><Relationship Id="rId7" Type="http://schemas.openxmlformats.org/officeDocument/2006/relationships/hyperlink" Target="http://www.socialsecurity.gov/myaccou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a.gov/benefits/retirement/estimator.html?utm_source=mip0419&amp;utm_medium=online-media&amp;utm_content=Financial-Literacy-Month-A-Perfect-Time-To-Plan-For-Your-Future-002&amp;utm_campaign=ocomm-mip-fy19" TargetMode="External"/><Relationship Id="rId11" Type="http://schemas.openxmlformats.org/officeDocument/2006/relationships/fontTable" Target="fontTable.xml"/><Relationship Id="rId5" Type="http://schemas.openxmlformats.org/officeDocument/2006/relationships/hyperlink" Target="http://www.ssa.gov/myaccount/?utm_source=mip0419&amp;utm_medium=online-media&amp;utm_content=Financial-Literacy-Month-A-Perfect-Time-To-Plan-For-Your-Future-001&amp;utm_campaign=ocomm-mip-fy19" TargetMode="Externa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mailto:SEA.ORC.RPA@s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2019-03-15T01:05:00Z</dcterms:created>
  <dcterms:modified xsi:type="dcterms:W3CDTF">2019-03-15T01:06:00Z</dcterms:modified>
</cp:coreProperties>
</file>